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C9" w:rsidRPr="003421C9" w:rsidRDefault="003421C9" w:rsidP="003421C9">
      <w:pPr>
        <w:pStyle w:val="NormalWeb"/>
        <w:spacing w:before="120" w:beforeAutospacing="0" w:after="120" w:afterAutospacing="0"/>
        <w:jc w:val="center"/>
        <w:rPr>
          <w:rStyle w:val="Gl"/>
          <w:rFonts w:ascii="Calibri" w:hAnsi="Calibri"/>
          <w:sz w:val="22"/>
          <w:szCs w:val="22"/>
        </w:rPr>
      </w:pPr>
      <w:r w:rsidRPr="003421C9">
        <w:rPr>
          <w:rStyle w:val="Gl"/>
          <w:rFonts w:ascii="Calibri" w:hAnsi="Calibri"/>
          <w:sz w:val="22"/>
          <w:szCs w:val="22"/>
        </w:rPr>
        <w:t xml:space="preserve">ORTA DOĞU TEKNİK ÜNİVERSİTESİ </w:t>
      </w:r>
    </w:p>
    <w:p w:rsidR="00877B7B" w:rsidRPr="003421C9" w:rsidRDefault="003421C9" w:rsidP="003421C9">
      <w:pPr>
        <w:pStyle w:val="NormalWeb"/>
        <w:spacing w:before="120" w:beforeAutospacing="0" w:after="120" w:afterAutospacing="0"/>
        <w:jc w:val="center"/>
        <w:rPr>
          <w:rFonts w:ascii="Calibri" w:hAnsi="Calibri"/>
          <w:sz w:val="22"/>
          <w:szCs w:val="22"/>
        </w:rPr>
      </w:pPr>
      <w:r w:rsidRPr="003421C9">
        <w:rPr>
          <w:rStyle w:val="Gl"/>
          <w:rFonts w:ascii="Calibri" w:hAnsi="Calibri"/>
          <w:sz w:val="22"/>
          <w:szCs w:val="22"/>
        </w:rPr>
        <w:t xml:space="preserve">DİKEY GEÇİŞ YÖNERGESİ </w:t>
      </w:r>
      <w:r w:rsidRPr="003421C9">
        <w:rPr>
          <w:rFonts w:ascii="Calibri" w:hAnsi="Calibri"/>
          <w:sz w:val="22"/>
          <w:szCs w:val="22"/>
        </w:rPr>
        <w:t> 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center"/>
        <w:rPr>
          <w:rFonts w:ascii="Calibri" w:hAnsi="Calibri"/>
          <w:sz w:val="22"/>
          <w:szCs w:val="22"/>
        </w:rPr>
      </w:pPr>
      <w:r w:rsidRPr="003421C9">
        <w:rPr>
          <w:rStyle w:val="Gl"/>
          <w:rFonts w:ascii="Calibri" w:hAnsi="Calibri"/>
          <w:sz w:val="22"/>
          <w:szCs w:val="22"/>
        </w:rPr>
        <w:t>BİRİNCİ BÖLÜM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rPr>
          <w:rFonts w:ascii="Calibri" w:hAnsi="Calibri"/>
          <w:sz w:val="22"/>
          <w:szCs w:val="22"/>
        </w:rPr>
      </w:pPr>
      <w:proofErr w:type="spellStart"/>
      <w:r w:rsidRPr="003421C9">
        <w:rPr>
          <w:rStyle w:val="Gl"/>
          <w:rFonts w:ascii="Calibri" w:hAnsi="Calibri"/>
          <w:sz w:val="22"/>
          <w:szCs w:val="22"/>
        </w:rPr>
        <w:t>Amaç</w:t>
      </w:r>
      <w:proofErr w:type="spellEnd"/>
      <w:r w:rsidRPr="003421C9">
        <w:rPr>
          <w:rStyle w:val="Gl"/>
          <w:rFonts w:ascii="Calibri" w:hAnsi="Calibri"/>
          <w:sz w:val="22"/>
          <w:szCs w:val="22"/>
        </w:rPr>
        <w:t xml:space="preserve">, </w:t>
      </w:r>
      <w:proofErr w:type="spellStart"/>
      <w:r w:rsidRPr="003421C9">
        <w:rPr>
          <w:rStyle w:val="Gl"/>
          <w:rFonts w:ascii="Calibri" w:hAnsi="Calibri"/>
          <w:sz w:val="22"/>
          <w:szCs w:val="22"/>
        </w:rPr>
        <w:t>Kapsam</w:t>
      </w:r>
      <w:proofErr w:type="spellEnd"/>
      <w:r w:rsidRPr="003421C9">
        <w:rPr>
          <w:rStyle w:val="Gl"/>
          <w:rFonts w:ascii="Calibri" w:hAnsi="Calibri"/>
          <w:sz w:val="22"/>
          <w:szCs w:val="22"/>
        </w:rPr>
        <w:t xml:space="preserve">, </w:t>
      </w:r>
      <w:proofErr w:type="spellStart"/>
      <w:r w:rsidRPr="003421C9">
        <w:rPr>
          <w:rStyle w:val="Gl"/>
          <w:rFonts w:ascii="Calibri" w:hAnsi="Calibri"/>
          <w:sz w:val="22"/>
          <w:szCs w:val="22"/>
        </w:rPr>
        <w:t>Dayanak</w:t>
      </w:r>
      <w:proofErr w:type="spellEnd"/>
      <w:r w:rsidRPr="003421C9">
        <w:rPr>
          <w:rStyle w:val="Gl"/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Style w:val="Gl"/>
          <w:rFonts w:ascii="Calibri" w:hAnsi="Calibri"/>
          <w:sz w:val="22"/>
          <w:szCs w:val="22"/>
        </w:rPr>
        <w:t>ve</w:t>
      </w:r>
      <w:proofErr w:type="spellEnd"/>
      <w:r w:rsidRPr="003421C9">
        <w:rPr>
          <w:rStyle w:val="Gl"/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Style w:val="Gl"/>
          <w:rFonts w:ascii="Calibri" w:hAnsi="Calibri"/>
          <w:sz w:val="22"/>
          <w:szCs w:val="22"/>
        </w:rPr>
        <w:t>Tanımlar</w:t>
      </w:r>
      <w:proofErr w:type="spellEnd"/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3421C9">
        <w:rPr>
          <w:rStyle w:val="Gl"/>
          <w:rFonts w:ascii="Calibri" w:hAnsi="Calibri"/>
          <w:sz w:val="22"/>
          <w:szCs w:val="22"/>
        </w:rPr>
        <w:t>Amaç</w:t>
      </w:r>
      <w:proofErr w:type="spellEnd"/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421C9">
        <w:rPr>
          <w:rStyle w:val="Gl"/>
          <w:rFonts w:ascii="Calibri" w:hAnsi="Calibri"/>
          <w:sz w:val="22"/>
          <w:szCs w:val="22"/>
        </w:rPr>
        <w:t>MADDE 1</w:t>
      </w:r>
      <w:r w:rsidR="00187759" w:rsidRPr="003421C9">
        <w:rPr>
          <w:rFonts w:ascii="Calibri" w:hAnsi="Calibri"/>
          <w:sz w:val="22"/>
          <w:szCs w:val="22"/>
        </w:rPr>
        <w:t xml:space="preserve"> – (1) Bu </w:t>
      </w:r>
      <w:proofErr w:type="spellStart"/>
      <w:r w:rsidR="00187759" w:rsidRPr="003421C9">
        <w:rPr>
          <w:rFonts w:ascii="Calibri" w:hAnsi="Calibri"/>
          <w:sz w:val="22"/>
          <w:szCs w:val="22"/>
        </w:rPr>
        <w:t>Yönerge’nin</w:t>
      </w:r>
      <w:proofErr w:type="spellEnd"/>
      <w:r w:rsidR="00187759"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="00187759" w:rsidRPr="003421C9">
        <w:rPr>
          <w:rFonts w:ascii="Calibri" w:hAnsi="Calibri"/>
          <w:sz w:val="22"/>
          <w:szCs w:val="22"/>
        </w:rPr>
        <w:t>amacı</w:t>
      </w:r>
      <w:proofErr w:type="spellEnd"/>
      <w:r w:rsidR="00187759" w:rsidRPr="003421C9">
        <w:rPr>
          <w:rFonts w:ascii="Calibri" w:hAnsi="Calibri"/>
          <w:sz w:val="22"/>
          <w:szCs w:val="22"/>
        </w:rPr>
        <w:t xml:space="preserve">, </w:t>
      </w:r>
      <w:proofErr w:type="spellStart"/>
      <w:r w:rsidRPr="003421C9">
        <w:rPr>
          <w:rFonts w:ascii="Calibri" w:hAnsi="Calibri"/>
          <w:sz w:val="22"/>
          <w:szCs w:val="22"/>
        </w:rPr>
        <w:t>meslek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yüksekokulları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ve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açıköğretim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ön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lisans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programlarından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başarıyla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mezun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olup</w:t>
      </w:r>
      <w:proofErr w:type="spellEnd"/>
      <w:proofErr w:type="gramStart"/>
      <w:r w:rsidRPr="003421C9">
        <w:rPr>
          <w:rFonts w:ascii="Calibri" w:hAnsi="Calibri"/>
          <w:sz w:val="22"/>
          <w:szCs w:val="22"/>
        </w:rPr>
        <w:t>,  ÖSY</w:t>
      </w:r>
      <w:r w:rsidR="00187759" w:rsidRPr="003421C9">
        <w:rPr>
          <w:rFonts w:ascii="Calibri" w:hAnsi="Calibri"/>
          <w:sz w:val="22"/>
          <w:szCs w:val="22"/>
        </w:rPr>
        <w:t>M</w:t>
      </w:r>
      <w:proofErr w:type="gramEnd"/>
      <w:r w:rsidR="00187759"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="00187759" w:rsidRPr="003421C9">
        <w:rPr>
          <w:rFonts w:ascii="Calibri" w:hAnsi="Calibri"/>
          <w:sz w:val="22"/>
          <w:szCs w:val="22"/>
        </w:rPr>
        <w:t>tarafından</w:t>
      </w:r>
      <w:proofErr w:type="spellEnd"/>
      <w:r w:rsidR="00187759"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="00187759" w:rsidRPr="003421C9">
        <w:rPr>
          <w:rFonts w:ascii="Calibri" w:hAnsi="Calibri"/>
          <w:sz w:val="22"/>
          <w:szCs w:val="22"/>
        </w:rPr>
        <w:t>dikey</w:t>
      </w:r>
      <w:proofErr w:type="spellEnd"/>
      <w:r w:rsidR="00187759"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="00187759" w:rsidRPr="003421C9">
        <w:rPr>
          <w:rFonts w:ascii="Calibri" w:hAnsi="Calibri"/>
          <w:sz w:val="22"/>
          <w:szCs w:val="22"/>
        </w:rPr>
        <w:t>geçiş</w:t>
      </w:r>
      <w:proofErr w:type="spellEnd"/>
      <w:r w:rsidR="00187759"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="00187759" w:rsidRPr="003421C9">
        <w:rPr>
          <w:rFonts w:ascii="Calibri" w:hAnsi="Calibri"/>
          <w:sz w:val="22"/>
          <w:szCs w:val="22"/>
        </w:rPr>
        <w:t>sınavı</w:t>
      </w:r>
      <w:proofErr w:type="spellEnd"/>
      <w:r w:rsidRPr="003421C9">
        <w:rPr>
          <w:rFonts w:ascii="Calibri" w:hAnsi="Calibri"/>
          <w:sz w:val="22"/>
          <w:szCs w:val="22"/>
        </w:rPr>
        <w:t xml:space="preserve"> (DGS) </w:t>
      </w:r>
      <w:proofErr w:type="spellStart"/>
      <w:r w:rsidRPr="003421C9">
        <w:rPr>
          <w:rFonts w:ascii="Calibri" w:hAnsi="Calibri"/>
          <w:sz w:val="22"/>
          <w:szCs w:val="22"/>
        </w:rPr>
        <w:t>ile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Orta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Doğu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Teknik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Üniversitesi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lisans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programlarına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yerleştirilen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öğrencilere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uygulanacak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esasları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düzenlemektir</w:t>
      </w:r>
      <w:proofErr w:type="spellEnd"/>
      <w:r w:rsidRPr="003421C9">
        <w:rPr>
          <w:rFonts w:ascii="Calibri" w:hAnsi="Calibri"/>
          <w:sz w:val="22"/>
          <w:szCs w:val="22"/>
        </w:rPr>
        <w:t>.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3421C9">
        <w:rPr>
          <w:rStyle w:val="Gl"/>
          <w:rFonts w:ascii="Calibri" w:hAnsi="Calibri"/>
          <w:sz w:val="22"/>
          <w:szCs w:val="22"/>
        </w:rPr>
        <w:t>Kapsam</w:t>
      </w:r>
      <w:proofErr w:type="spellEnd"/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421C9">
        <w:rPr>
          <w:rStyle w:val="Gl"/>
          <w:rFonts w:ascii="Calibri" w:hAnsi="Calibri"/>
          <w:sz w:val="22"/>
          <w:szCs w:val="22"/>
        </w:rPr>
        <w:t>MADDE 2</w:t>
      </w:r>
      <w:r w:rsidRPr="003421C9">
        <w:rPr>
          <w:rFonts w:ascii="Calibri" w:hAnsi="Calibri"/>
          <w:sz w:val="22"/>
          <w:szCs w:val="22"/>
        </w:rPr>
        <w:t xml:space="preserve"> – (1) Bu </w:t>
      </w:r>
      <w:proofErr w:type="spellStart"/>
      <w:r w:rsidRPr="003421C9">
        <w:rPr>
          <w:rFonts w:ascii="Calibri" w:hAnsi="Calibri"/>
          <w:sz w:val="22"/>
          <w:szCs w:val="22"/>
        </w:rPr>
        <w:t>Yönerge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Orta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Doğu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3421C9">
        <w:rPr>
          <w:rFonts w:ascii="Calibri" w:hAnsi="Calibri"/>
          <w:sz w:val="22"/>
          <w:szCs w:val="22"/>
        </w:rPr>
        <w:t>Teknik</w:t>
      </w:r>
      <w:proofErr w:type="spellEnd"/>
      <w:r w:rsidRPr="003421C9">
        <w:rPr>
          <w:rFonts w:ascii="Calibri" w:hAnsi="Calibri"/>
          <w:sz w:val="22"/>
          <w:szCs w:val="22"/>
        </w:rPr>
        <w:t xml:space="preserve">  </w:t>
      </w:r>
      <w:proofErr w:type="spellStart"/>
      <w:r w:rsidRPr="003421C9">
        <w:rPr>
          <w:rFonts w:ascii="Calibri" w:hAnsi="Calibri"/>
          <w:sz w:val="22"/>
          <w:szCs w:val="22"/>
        </w:rPr>
        <w:t>Üniversitesi</w:t>
      </w:r>
      <w:proofErr w:type="spellEnd"/>
      <w:proofErr w:type="gram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lisans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programlarına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dikey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geçiş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sınavı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ile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yerleştirilen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öğrencilere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ilişkin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hükümleri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kapsar</w:t>
      </w:r>
      <w:proofErr w:type="spellEnd"/>
      <w:r w:rsidRPr="003421C9">
        <w:rPr>
          <w:rFonts w:ascii="Calibri" w:hAnsi="Calibri"/>
          <w:sz w:val="22"/>
          <w:szCs w:val="22"/>
        </w:rPr>
        <w:t>.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3421C9">
        <w:rPr>
          <w:rStyle w:val="Gl"/>
          <w:rFonts w:ascii="Calibri" w:hAnsi="Calibri"/>
          <w:sz w:val="22"/>
          <w:szCs w:val="22"/>
        </w:rPr>
        <w:t>Dayanak</w:t>
      </w:r>
      <w:proofErr w:type="spellEnd"/>
      <w:r w:rsidRPr="003421C9">
        <w:rPr>
          <w:rStyle w:val="Gl"/>
          <w:rFonts w:ascii="Calibri" w:hAnsi="Calibri"/>
          <w:sz w:val="22"/>
          <w:szCs w:val="22"/>
        </w:rPr>
        <w:t xml:space="preserve"> 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421C9">
        <w:rPr>
          <w:rStyle w:val="Gl"/>
          <w:rFonts w:ascii="Calibri" w:hAnsi="Calibri"/>
          <w:sz w:val="22"/>
          <w:szCs w:val="22"/>
        </w:rPr>
        <w:t xml:space="preserve">MADDE 3- </w:t>
      </w:r>
      <w:r w:rsidRPr="003421C9">
        <w:rPr>
          <w:rFonts w:ascii="Calibri" w:hAnsi="Calibri"/>
          <w:sz w:val="22"/>
          <w:szCs w:val="22"/>
        </w:rPr>
        <w:t xml:space="preserve">(1) Bu </w:t>
      </w:r>
      <w:proofErr w:type="spellStart"/>
      <w:r w:rsidRPr="003421C9">
        <w:rPr>
          <w:rFonts w:ascii="Calibri" w:hAnsi="Calibri"/>
          <w:sz w:val="22"/>
          <w:szCs w:val="22"/>
        </w:rPr>
        <w:t>Yönerge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Yükseköğretim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Kurulu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Başkanlığı'nın</w:t>
      </w:r>
      <w:proofErr w:type="spellEnd"/>
      <w:r w:rsidRPr="003421C9">
        <w:rPr>
          <w:rFonts w:ascii="Calibri" w:hAnsi="Calibri"/>
          <w:sz w:val="22"/>
          <w:szCs w:val="22"/>
        </w:rPr>
        <w:t xml:space="preserve"> 19/2/2002</w:t>
      </w:r>
      <w:r w:rsidR="00187759"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tarih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ve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gramStart"/>
      <w:r w:rsidRPr="003421C9">
        <w:rPr>
          <w:rFonts w:ascii="Calibri" w:hAnsi="Calibri"/>
          <w:sz w:val="22"/>
          <w:szCs w:val="22"/>
        </w:rPr>
        <w:t>24676  </w:t>
      </w:r>
      <w:proofErr w:type="spellStart"/>
      <w:r w:rsidRPr="003421C9">
        <w:rPr>
          <w:rFonts w:ascii="Calibri" w:hAnsi="Calibri"/>
          <w:sz w:val="22"/>
          <w:szCs w:val="22"/>
        </w:rPr>
        <w:t>Sayılı</w:t>
      </w:r>
      <w:proofErr w:type="spellEnd"/>
      <w:proofErr w:type="gram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Resmi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Gazete'de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yayımlanarak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yürürlüğe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giren</w:t>
      </w:r>
      <w:proofErr w:type="spellEnd"/>
      <w:r w:rsidRPr="003421C9">
        <w:rPr>
          <w:rFonts w:ascii="Calibri" w:hAnsi="Calibri"/>
          <w:sz w:val="22"/>
          <w:szCs w:val="22"/>
        </w:rPr>
        <w:t xml:space="preserve"> "</w:t>
      </w:r>
      <w:proofErr w:type="spellStart"/>
      <w:r w:rsidRPr="003421C9">
        <w:rPr>
          <w:rFonts w:ascii="Calibri" w:hAnsi="Calibri"/>
          <w:sz w:val="22"/>
          <w:szCs w:val="22"/>
        </w:rPr>
        <w:t>Meslek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Yüksekokulları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ve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Açıköğretim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Önlisans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Programı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Mezunlarının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Lisans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Öğrenimine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Devamları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Hakkında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Yönetmelik</w:t>
      </w:r>
      <w:proofErr w:type="spellEnd"/>
      <w:r w:rsidRPr="003421C9">
        <w:rPr>
          <w:rFonts w:ascii="Calibri" w:hAnsi="Calibri"/>
          <w:sz w:val="22"/>
          <w:szCs w:val="22"/>
        </w:rPr>
        <w:t xml:space="preserve">” </w:t>
      </w:r>
      <w:proofErr w:type="spellStart"/>
      <w:r w:rsidRPr="003421C9">
        <w:rPr>
          <w:rFonts w:ascii="Calibri" w:hAnsi="Calibri"/>
          <w:sz w:val="22"/>
          <w:szCs w:val="22"/>
        </w:rPr>
        <w:t>hükümlerine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dayanarak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hazırlanmıştır</w:t>
      </w:r>
      <w:proofErr w:type="spellEnd"/>
      <w:r w:rsidRPr="003421C9">
        <w:rPr>
          <w:rFonts w:ascii="Calibri" w:hAnsi="Calibri"/>
          <w:sz w:val="22"/>
          <w:szCs w:val="22"/>
        </w:rPr>
        <w:t>.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3421C9">
        <w:rPr>
          <w:rStyle w:val="Gl"/>
          <w:rFonts w:ascii="Calibri" w:hAnsi="Calibri"/>
          <w:sz w:val="22"/>
          <w:szCs w:val="22"/>
        </w:rPr>
        <w:t>Tanımlar</w:t>
      </w:r>
      <w:proofErr w:type="spellEnd"/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421C9">
        <w:rPr>
          <w:rStyle w:val="Gl"/>
          <w:rFonts w:ascii="Calibri" w:hAnsi="Calibri"/>
          <w:sz w:val="22"/>
          <w:szCs w:val="22"/>
        </w:rPr>
        <w:t>MADDE 4 -</w:t>
      </w:r>
      <w:r w:rsidRPr="003421C9">
        <w:rPr>
          <w:rFonts w:ascii="Calibri" w:hAnsi="Calibri"/>
          <w:sz w:val="22"/>
          <w:szCs w:val="22"/>
        </w:rPr>
        <w:t xml:space="preserve"> (1) Bu </w:t>
      </w:r>
      <w:proofErr w:type="spellStart"/>
      <w:r w:rsidRPr="003421C9">
        <w:rPr>
          <w:rFonts w:ascii="Calibri" w:hAnsi="Calibri"/>
          <w:sz w:val="22"/>
          <w:szCs w:val="22"/>
        </w:rPr>
        <w:t>Yönerge’de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geçen</w:t>
      </w:r>
      <w:proofErr w:type="spellEnd"/>
      <w:r w:rsidRPr="003421C9">
        <w:rPr>
          <w:rFonts w:ascii="Calibri" w:hAnsi="Calibri"/>
          <w:sz w:val="22"/>
          <w:szCs w:val="22"/>
        </w:rPr>
        <w:t>;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421C9">
        <w:rPr>
          <w:rFonts w:ascii="Calibri" w:hAnsi="Calibri"/>
          <w:sz w:val="22"/>
          <w:szCs w:val="22"/>
        </w:rPr>
        <w:t xml:space="preserve">a) </w:t>
      </w:r>
      <w:proofErr w:type="spellStart"/>
      <w:r w:rsidRPr="003421C9">
        <w:rPr>
          <w:rFonts w:ascii="Calibri" w:hAnsi="Calibri"/>
          <w:sz w:val="22"/>
          <w:szCs w:val="22"/>
        </w:rPr>
        <w:t>İlgili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yönetim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kurulu</w:t>
      </w:r>
      <w:proofErr w:type="spellEnd"/>
      <w:r w:rsidRPr="003421C9">
        <w:rPr>
          <w:rFonts w:ascii="Calibri" w:hAnsi="Calibri"/>
          <w:sz w:val="22"/>
          <w:szCs w:val="22"/>
        </w:rPr>
        <w:t xml:space="preserve">: </w:t>
      </w:r>
      <w:proofErr w:type="spellStart"/>
      <w:r w:rsidRPr="003421C9">
        <w:rPr>
          <w:rFonts w:ascii="Calibri" w:hAnsi="Calibri"/>
          <w:sz w:val="22"/>
          <w:szCs w:val="22"/>
        </w:rPr>
        <w:t>Orta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Doğu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Teknik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Üniversitesi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Fakülte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ve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Yüksekokul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Yönetim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Kurullarını</w:t>
      </w:r>
      <w:proofErr w:type="spellEnd"/>
      <w:r w:rsidRPr="003421C9">
        <w:rPr>
          <w:rFonts w:ascii="Calibri" w:hAnsi="Calibri"/>
          <w:sz w:val="22"/>
          <w:szCs w:val="22"/>
        </w:rPr>
        <w:t>,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421C9">
        <w:rPr>
          <w:rFonts w:ascii="Calibri" w:hAnsi="Calibri"/>
          <w:sz w:val="22"/>
          <w:szCs w:val="22"/>
        </w:rPr>
        <w:t xml:space="preserve">b) DGS: </w:t>
      </w:r>
      <w:proofErr w:type="spellStart"/>
      <w:r w:rsidRPr="003421C9">
        <w:rPr>
          <w:rFonts w:ascii="Calibri" w:hAnsi="Calibri"/>
          <w:sz w:val="22"/>
          <w:szCs w:val="22"/>
        </w:rPr>
        <w:t>Dikey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Geçiş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Sınavını</w:t>
      </w:r>
      <w:proofErr w:type="spellEnd"/>
      <w:r w:rsidRPr="003421C9">
        <w:rPr>
          <w:rFonts w:ascii="Calibri" w:hAnsi="Calibri"/>
          <w:sz w:val="22"/>
          <w:szCs w:val="22"/>
        </w:rPr>
        <w:t>,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421C9">
        <w:rPr>
          <w:rFonts w:ascii="Calibri" w:hAnsi="Calibri"/>
          <w:sz w:val="22"/>
          <w:szCs w:val="22"/>
        </w:rPr>
        <w:t xml:space="preserve">c) ÖSYM: </w:t>
      </w:r>
      <w:proofErr w:type="spellStart"/>
      <w:r w:rsidRPr="003421C9">
        <w:rPr>
          <w:rFonts w:ascii="Calibri" w:hAnsi="Calibri"/>
          <w:sz w:val="22"/>
          <w:szCs w:val="22"/>
        </w:rPr>
        <w:t>Ölçme</w:t>
      </w:r>
      <w:proofErr w:type="spellEnd"/>
      <w:r w:rsidRPr="003421C9">
        <w:rPr>
          <w:rFonts w:ascii="Calibri" w:hAnsi="Calibri"/>
          <w:sz w:val="22"/>
          <w:szCs w:val="22"/>
        </w:rPr>
        <w:t xml:space="preserve">, </w:t>
      </w:r>
      <w:proofErr w:type="spellStart"/>
      <w:r w:rsidRPr="003421C9">
        <w:rPr>
          <w:rFonts w:ascii="Calibri" w:hAnsi="Calibri"/>
          <w:sz w:val="22"/>
          <w:szCs w:val="22"/>
        </w:rPr>
        <w:t>Seçme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ve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Yerleştirme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Merkezini</w:t>
      </w:r>
      <w:proofErr w:type="spellEnd"/>
      <w:r w:rsidRPr="003421C9">
        <w:rPr>
          <w:rFonts w:ascii="Calibri" w:hAnsi="Calibri"/>
          <w:sz w:val="22"/>
          <w:szCs w:val="22"/>
        </w:rPr>
        <w:t>,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421C9">
        <w:rPr>
          <w:rFonts w:ascii="Calibri" w:hAnsi="Calibri"/>
          <w:sz w:val="22"/>
          <w:szCs w:val="22"/>
        </w:rPr>
        <w:t xml:space="preserve">ç) </w:t>
      </w:r>
      <w:proofErr w:type="spellStart"/>
      <w:r w:rsidRPr="003421C9">
        <w:rPr>
          <w:rFonts w:ascii="Calibri" w:hAnsi="Calibri"/>
          <w:sz w:val="22"/>
          <w:szCs w:val="22"/>
        </w:rPr>
        <w:t>Rektör</w:t>
      </w:r>
      <w:proofErr w:type="spellEnd"/>
      <w:r w:rsidRPr="003421C9">
        <w:rPr>
          <w:rFonts w:ascii="Calibri" w:hAnsi="Calibri"/>
          <w:sz w:val="22"/>
          <w:szCs w:val="22"/>
        </w:rPr>
        <w:t xml:space="preserve">: </w:t>
      </w:r>
      <w:proofErr w:type="spellStart"/>
      <w:r w:rsidRPr="003421C9">
        <w:rPr>
          <w:rFonts w:ascii="Calibri" w:hAnsi="Calibri"/>
          <w:sz w:val="22"/>
          <w:szCs w:val="22"/>
        </w:rPr>
        <w:t>Orta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Doğu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3421C9">
        <w:rPr>
          <w:rFonts w:ascii="Calibri" w:hAnsi="Calibri"/>
          <w:sz w:val="22"/>
          <w:szCs w:val="22"/>
        </w:rPr>
        <w:t>Teknik</w:t>
      </w:r>
      <w:proofErr w:type="spellEnd"/>
      <w:r w:rsidRPr="003421C9">
        <w:rPr>
          <w:rFonts w:ascii="Calibri" w:hAnsi="Calibri"/>
          <w:sz w:val="22"/>
          <w:szCs w:val="22"/>
        </w:rPr>
        <w:t xml:space="preserve">  </w:t>
      </w:r>
      <w:proofErr w:type="spellStart"/>
      <w:r w:rsidRPr="003421C9">
        <w:rPr>
          <w:rFonts w:ascii="Calibri" w:hAnsi="Calibri"/>
          <w:sz w:val="22"/>
          <w:szCs w:val="22"/>
        </w:rPr>
        <w:t>Üniversitesi</w:t>
      </w:r>
      <w:proofErr w:type="spellEnd"/>
      <w:proofErr w:type="gram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Rektörünü</w:t>
      </w:r>
      <w:proofErr w:type="spellEnd"/>
      <w:r w:rsidRPr="003421C9">
        <w:rPr>
          <w:rFonts w:ascii="Calibri" w:hAnsi="Calibri"/>
          <w:sz w:val="22"/>
          <w:szCs w:val="22"/>
        </w:rPr>
        <w:t>,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421C9">
        <w:rPr>
          <w:rFonts w:ascii="Calibri" w:hAnsi="Calibri"/>
          <w:sz w:val="22"/>
          <w:szCs w:val="22"/>
        </w:rPr>
        <w:t xml:space="preserve">d) </w:t>
      </w:r>
      <w:proofErr w:type="spellStart"/>
      <w:r w:rsidRPr="003421C9">
        <w:rPr>
          <w:rFonts w:ascii="Calibri" w:hAnsi="Calibri"/>
          <w:sz w:val="22"/>
          <w:szCs w:val="22"/>
        </w:rPr>
        <w:t>Senato</w:t>
      </w:r>
      <w:proofErr w:type="spellEnd"/>
      <w:r w:rsidRPr="003421C9">
        <w:rPr>
          <w:rFonts w:ascii="Calibri" w:hAnsi="Calibri"/>
          <w:sz w:val="22"/>
          <w:szCs w:val="22"/>
        </w:rPr>
        <w:t xml:space="preserve">: </w:t>
      </w:r>
      <w:proofErr w:type="spellStart"/>
      <w:r w:rsidRPr="003421C9">
        <w:rPr>
          <w:rFonts w:ascii="Calibri" w:hAnsi="Calibri"/>
          <w:sz w:val="22"/>
          <w:szCs w:val="22"/>
        </w:rPr>
        <w:t>Orta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Doğu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Teknik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Üniversitesi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Senatosunu</w:t>
      </w:r>
      <w:proofErr w:type="spellEnd"/>
      <w:r w:rsidRPr="003421C9">
        <w:rPr>
          <w:rFonts w:ascii="Calibri" w:hAnsi="Calibri"/>
          <w:sz w:val="22"/>
          <w:szCs w:val="22"/>
        </w:rPr>
        <w:t>,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421C9">
        <w:rPr>
          <w:rFonts w:ascii="Calibri" w:hAnsi="Calibri"/>
          <w:sz w:val="22"/>
          <w:szCs w:val="22"/>
        </w:rPr>
        <w:t xml:space="preserve">e) </w:t>
      </w:r>
      <w:proofErr w:type="spellStart"/>
      <w:r w:rsidRPr="003421C9">
        <w:rPr>
          <w:rFonts w:ascii="Calibri" w:hAnsi="Calibri"/>
          <w:sz w:val="22"/>
          <w:szCs w:val="22"/>
        </w:rPr>
        <w:t>Üniversite</w:t>
      </w:r>
      <w:proofErr w:type="spellEnd"/>
      <w:r w:rsidRPr="003421C9">
        <w:rPr>
          <w:rFonts w:ascii="Calibri" w:hAnsi="Calibri"/>
          <w:sz w:val="22"/>
          <w:szCs w:val="22"/>
        </w:rPr>
        <w:t xml:space="preserve">: </w:t>
      </w:r>
      <w:proofErr w:type="spellStart"/>
      <w:r w:rsidRPr="003421C9">
        <w:rPr>
          <w:rFonts w:ascii="Calibri" w:hAnsi="Calibri"/>
          <w:sz w:val="22"/>
          <w:szCs w:val="22"/>
        </w:rPr>
        <w:t>Orta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Doğu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Teknik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Üniversitesini</w:t>
      </w:r>
      <w:proofErr w:type="spellEnd"/>
      <w:r w:rsidRPr="003421C9">
        <w:rPr>
          <w:rFonts w:ascii="Calibri" w:hAnsi="Calibri"/>
          <w:sz w:val="22"/>
          <w:szCs w:val="22"/>
        </w:rPr>
        <w:t>,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421C9">
        <w:rPr>
          <w:rFonts w:ascii="Calibri" w:hAnsi="Calibri"/>
          <w:sz w:val="22"/>
          <w:szCs w:val="22"/>
        </w:rPr>
        <w:t xml:space="preserve">f) </w:t>
      </w:r>
      <w:proofErr w:type="spellStart"/>
      <w:r w:rsidRPr="003421C9">
        <w:rPr>
          <w:rFonts w:ascii="Calibri" w:hAnsi="Calibri"/>
          <w:sz w:val="22"/>
          <w:szCs w:val="22"/>
        </w:rPr>
        <w:t>Yönetmelik</w:t>
      </w:r>
      <w:proofErr w:type="spellEnd"/>
      <w:r w:rsidRPr="003421C9">
        <w:rPr>
          <w:rFonts w:ascii="Calibri" w:hAnsi="Calibri"/>
          <w:sz w:val="22"/>
          <w:szCs w:val="22"/>
        </w:rPr>
        <w:t xml:space="preserve">: </w:t>
      </w:r>
      <w:proofErr w:type="spellStart"/>
      <w:r w:rsidRPr="003421C9">
        <w:rPr>
          <w:rFonts w:ascii="Calibri" w:hAnsi="Calibri"/>
          <w:sz w:val="22"/>
          <w:szCs w:val="22"/>
        </w:rPr>
        <w:t>Orta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Doğu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Teknik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Üniversitesi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Yönetmeliklerini</w:t>
      </w:r>
      <w:proofErr w:type="spellEnd"/>
      <w:r w:rsidRPr="003421C9">
        <w:rPr>
          <w:rFonts w:ascii="Calibri" w:hAnsi="Calibri"/>
          <w:sz w:val="22"/>
          <w:szCs w:val="22"/>
        </w:rPr>
        <w:t>,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421C9">
        <w:rPr>
          <w:rFonts w:ascii="Calibri" w:hAnsi="Calibri"/>
          <w:sz w:val="22"/>
          <w:szCs w:val="22"/>
        </w:rPr>
        <w:t xml:space="preserve">g) YDYO: </w:t>
      </w:r>
      <w:proofErr w:type="spellStart"/>
      <w:r w:rsidRPr="003421C9">
        <w:rPr>
          <w:rFonts w:ascii="Calibri" w:hAnsi="Calibri"/>
          <w:sz w:val="22"/>
          <w:szCs w:val="22"/>
        </w:rPr>
        <w:t>Orta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Doğu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Teknik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Üniversitesi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Yabancı</w:t>
      </w:r>
      <w:proofErr w:type="spellEnd"/>
      <w:r w:rsidRPr="003421C9">
        <w:rPr>
          <w:rFonts w:ascii="Calibri" w:hAnsi="Calibri"/>
          <w:sz w:val="22"/>
          <w:szCs w:val="22"/>
        </w:rPr>
        <w:t xml:space="preserve"> Diller </w:t>
      </w:r>
      <w:proofErr w:type="spellStart"/>
      <w:r w:rsidRPr="003421C9">
        <w:rPr>
          <w:rFonts w:ascii="Calibri" w:hAnsi="Calibri"/>
          <w:sz w:val="22"/>
          <w:szCs w:val="22"/>
        </w:rPr>
        <w:t>Yüksekokulunu</w:t>
      </w:r>
      <w:proofErr w:type="spellEnd"/>
      <w:r w:rsidRPr="003421C9">
        <w:rPr>
          <w:rFonts w:ascii="Calibri" w:hAnsi="Calibri"/>
          <w:sz w:val="22"/>
          <w:szCs w:val="22"/>
        </w:rPr>
        <w:t>,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421C9">
        <w:rPr>
          <w:rFonts w:ascii="Calibri" w:hAnsi="Calibri"/>
          <w:sz w:val="22"/>
          <w:szCs w:val="22"/>
        </w:rPr>
        <w:t xml:space="preserve">ğ) YÖK: </w:t>
      </w:r>
      <w:proofErr w:type="spellStart"/>
      <w:r w:rsidRPr="003421C9">
        <w:rPr>
          <w:rFonts w:ascii="Calibri" w:hAnsi="Calibri"/>
          <w:sz w:val="22"/>
          <w:szCs w:val="22"/>
        </w:rPr>
        <w:t>Yükseköğretim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Kurulunu</w:t>
      </w:r>
      <w:proofErr w:type="spellEnd"/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proofErr w:type="spellStart"/>
      <w:proofErr w:type="gramStart"/>
      <w:r w:rsidRPr="003421C9">
        <w:rPr>
          <w:rFonts w:ascii="Calibri" w:hAnsi="Calibri"/>
          <w:sz w:val="22"/>
          <w:szCs w:val="22"/>
        </w:rPr>
        <w:t>ifade</w:t>
      </w:r>
      <w:proofErr w:type="spellEnd"/>
      <w:proofErr w:type="gram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eder</w:t>
      </w:r>
      <w:proofErr w:type="spellEnd"/>
      <w:r w:rsidRPr="003421C9">
        <w:rPr>
          <w:rFonts w:ascii="Calibri" w:hAnsi="Calibri"/>
          <w:sz w:val="22"/>
          <w:szCs w:val="22"/>
        </w:rPr>
        <w:t>.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421C9">
        <w:rPr>
          <w:rStyle w:val="Gl"/>
          <w:rFonts w:ascii="Calibri" w:hAnsi="Calibri"/>
          <w:sz w:val="22"/>
          <w:szCs w:val="22"/>
        </w:rPr>
        <w:t>İKİNCİ BÖLÜM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3421C9">
        <w:rPr>
          <w:rStyle w:val="Gl"/>
          <w:rFonts w:ascii="Calibri" w:hAnsi="Calibri"/>
          <w:sz w:val="22"/>
          <w:szCs w:val="22"/>
        </w:rPr>
        <w:t>Yerleştirme</w:t>
      </w:r>
      <w:proofErr w:type="spellEnd"/>
      <w:r w:rsidRPr="003421C9">
        <w:rPr>
          <w:rStyle w:val="Gl"/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Style w:val="Gl"/>
          <w:rFonts w:ascii="Calibri" w:hAnsi="Calibri"/>
          <w:sz w:val="22"/>
          <w:szCs w:val="22"/>
        </w:rPr>
        <w:t>ve</w:t>
      </w:r>
      <w:proofErr w:type="spellEnd"/>
      <w:r w:rsidRPr="003421C9">
        <w:rPr>
          <w:rStyle w:val="Gl"/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Style w:val="Gl"/>
          <w:rFonts w:ascii="Calibri" w:hAnsi="Calibri"/>
          <w:sz w:val="22"/>
          <w:szCs w:val="22"/>
        </w:rPr>
        <w:t>Kayıtla</w:t>
      </w:r>
      <w:proofErr w:type="spellEnd"/>
      <w:r w:rsidRPr="003421C9">
        <w:rPr>
          <w:rStyle w:val="Gl"/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Style w:val="Gl"/>
          <w:rFonts w:ascii="Calibri" w:hAnsi="Calibri"/>
          <w:sz w:val="22"/>
          <w:szCs w:val="22"/>
        </w:rPr>
        <w:t>İlgili</w:t>
      </w:r>
      <w:proofErr w:type="spellEnd"/>
      <w:r w:rsidRPr="003421C9">
        <w:rPr>
          <w:rStyle w:val="Gl"/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Style w:val="Gl"/>
          <w:rFonts w:ascii="Calibri" w:hAnsi="Calibri"/>
          <w:sz w:val="22"/>
          <w:szCs w:val="22"/>
        </w:rPr>
        <w:t>Esaslar</w:t>
      </w:r>
      <w:proofErr w:type="spellEnd"/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3421C9">
        <w:rPr>
          <w:rStyle w:val="Gl"/>
          <w:rFonts w:ascii="Calibri" w:hAnsi="Calibri"/>
          <w:sz w:val="22"/>
          <w:szCs w:val="22"/>
        </w:rPr>
        <w:t>Yerleştirme</w:t>
      </w:r>
      <w:proofErr w:type="spellEnd"/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421C9">
        <w:rPr>
          <w:rStyle w:val="Gl"/>
          <w:rFonts w:ascii="Calibri" w:hAnsi="Calibri"/>
          <w:sz w:val="22"/>
          <w:szCs w:val="22"/>
        </w:rPr>
        <w:t xml:space="preserve">MADDE 5- </w:t>
      </w:r>
      <w:r w:rsidRPr="003421C9">
        <w:rPr>
          <w:rFonts w:ascii="Calibri" w:hAnsi="Calibri"/>
          <w:sz w:val="22"/>
          <w:szCs w:val="22"/>
        </w:rPr>
        <w:t xml:space="preserve">(1) </w:t>
      </w:r>
      <w:proofErr w:type="spellStart"/>
      <w:r w:rsidRPr="003421C9">
        <w:rPr>
          <w:rFonts w:ascii="Calibri" w:hAnsi="Calibri"/>
          <w:sz w:val="22"/>
          <w:szCs w:val="22"/>
        </w:rPr>
        <w:t>Üniversiteye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yerleştirme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işlemleri</w:t>
      </w:r>
      <w:proofErr w:type="spellEnd"/>
      <w:r w:rsidRPr="003421C9">
        <w:rPr>
          <w:rFonts w:ascii="Calibri" w:hAnsi="Calibri"/>
          <w:sz w:val="22"/>
          <w:szCs w:val="22"/>
        </w:rPr>
        <w:t xml:space="preserve">, YÖK </w:t>
      </w:r>
      <w:proofErr w:type="spellStart"/>
      <w:r w:rsidRPr="003421C9">
        <w:rPr>
          <w:rFonts w:ascii="Calibri" w:hAnsi="Calibri"/>
          <w:sz w:val="22"/>
          <w:szCs w:val="22"/>
        </w:rPr>
        <w:t>tarafından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ilgili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yönetmelikler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ile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belirlenen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kontenjanlar</w:t>
      </w:r>
      <w:proofErr w:type="spellEnd"/>
      <w:r w:rsidRPr="003421C9">
        <w:rPr>
          <w:rFonts w:ascii="Calibri" w:hAnsi="Calibri"/>
          <w:sz w:val="22"/>
          <w:szCs w:val="22"/>
        </w:rPr>
        <w:t xml:space="preserve">, </w:t>
      </w:r>
      <w:proofErr w:type="spellStart"/>
      <w:r w:rsidRPr="003421C9">
        <w:rPr>
          <w:rFonts w:ascii="Calibri" w:hAnsi="Calibri"/>
          <w:sz w:val="22"/>
          <w:szCs w:val="22"/>
        </w:rPr>
        <w:t>başvuru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koşulları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ve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başvuru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süreci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kuralları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çerçevesinde</w:t>
      </w:r>
      <w:proofErr w:type="spellEnd"/>
      <w:r w:rsidRPr="003421C9">
        <w:rPr>
          <w:rFonts w:ascii="Calibri" w:hAnsi="Calibri"/>
          <w:sz w:val="22"/>
          <w:szCs w:val="22"/>
        </w:rPr>
        <w:t xml:space="preserve"> ÖSYM </w:t>
      </w:r>
      <w:proofErr w:type="spellStart"/>
      <w:r w:rsidRPr="003421C9">
        <w:rPr>
          <w:rFonts w:ascii="Calibri" w:hAnsi="Calibri"/>
          <w:sz w:val="22"/>
          <w:szCs w:val="22"/>
        </w:rPr>
        <w:t>tarafından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yapılan</w:t>
      </w:r>
      <w:proofErr w:type="spellEnd"/>
      <w:r w:rsidRPr="003421C9">
        <w:rPr>
          <w:rFonts w:ascii="Calibri" w:hAnsi="Calibri"/>
          <w:sz w:val="22"/>
          <w:szCs w:val="22"/>
        </w:rPr>
        <w:t xml:space="preserve"> DGS </w:t>
      </w:r>
      <w:proofErr w:type="spellStart"/>
      <w:r w:rsidRPr="003421C9">
        <w:rPr>
          <w:rFonts w:ascii="Calibri" w:hAnsi="Calibri"/>
          <w:sz w:val="22"/>
          <w:szCs w:val="22"/>
        </w:rPr>
        <w:t>sınav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sonuçlarına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göre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merkezi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sistemle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yapılır</w:t>
      </w:r>
      <w:proofErr w:type="spellEnd"/>
      <w:r w:rsidRPr="003421C9">
        <w:rPr>
          <w:rFonts w:ascii="Calibri" w:hAnsi="Calibri"/>
          <w:sz w:val="22"/>
          <w:szCs w:val="22"/>
        </w:rPr>
        <w:t>.</w:t>
      </w:r>
    </w:p>
    <w:p w:rsidR="003421C9" w:rsidRPr="003421C9" w:rsidRDefault="003421C9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</w:p>
    <w:p w:rsidR="003421C9" w:rsidRPr="003421C9" w:rsidRDefault="003421C9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3421C9">
        <w:rPr>
          <w:rStyle w:val="Gl"/>
          <w:rFonts w:ascii="Calibri" w:hAnsi="Calibri"/>
          <w:sz w:val="22"/>
          <w:szCs w:val="22"/>
        </w:rPr>
        <w:lastRenderedPageBreak/>
        <w:t>Öğretim</w:t>
      </w:r>
      <w:proofErr w:type="spellEnd"/>
      <w:r w:rsidRPr="003421C9">
        <w:rPr>
          <w:rStyle w:val="Gl"/>
          <w:rFonts w:ascii="Calibri" w:hAnsi="Calibri"/>
          <w:sz w:val="22"/>
          <w:szCs w:val="22"/>
        </w:rPr>
        <w:t xml:space="preserve"> Dili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  <w:lang w:val="tr-TR" w:eastAsia="tr-TR"/>
        </w:rPr>
      </w:pPr>
      <w:r w:rsidRPr="003421C9">
        <w:rPr>
          <w:rStyle w:val="Gl"/>
          <w:rFonts w:ascii="Calibri" w:hAnsi="Calibri"/>
          <w:sz w:val="22"/>
          <w:szCs w:val="22"/>
        </w:rPr>
        <w:t>MADDE 6-</w:t>
      </w:r>
      <w:r w:rsidRPr="003421C9">
        <w:rPr>
          <w:rFonts w:ascii="Calibri" w:hAnsi="Calibri"/>
          <w:sz w:val="22"/>
          <w:szCs w:val="22"/>
          <w:lang w:val="tr-TR" w:eastAsia="tr-TR"/>
        </w:rPr>
        <w:t>(1) ODTÜ’nün lisans programlarında eğitim öğretim dili İngilizcedir. Ancak Türkçe veya başka bir dilde yapılması zorunlu olan dersler Senato tarafından belirlenir.</w:t>
      </w:r>
    </w:p>
    <w:p w:rsidR="00877B7B" w:rsidRPr="003421C9" w:rsidRDefault="00877B7B" w:rsidP="003421C9">
      <w:pPr>
        <w:spacing w:before="120" w:after="120" w:line="240" w:lineRule="auto"/>
        <w:jc w:val="both"/>
        <w:rPr>
          <w:lang w:val="tr-TR" w:eastAsia="tr-TR"/>
        </w:rPr>
      </w:pPr>
      <w:r w:rsidRPr="003421C9">
        <w:rPr>
          <w:lang w:val="tr-TR" w:eastAsia="tr-TR"/>
        </w:rPr>
        <w:t>(2) Yerleştirilen öğrencilerinin lisans programlarına kayıtları İngilizce yeterlikleri belgelendikten sonra yapılır.</w:t>
      </w:r>
    </w:p>
    <w:p w:rsidR="00877B7B" w:rsidRPr="003421C9" w:rsidRDefault="00877B7B" w:rsidP="003421C9">
      <w:pPr>
        <w:spacing w:before="120" w:after="120" w:line="240" w:lineRule="auto"/>
        <w:jc w:val="both"/>
        <w:rPr>
          <w:lang w:val="tr-TR" w:eastAsia="tr-TR"/>
        </w:rPr>
      </w:pPr>
      <w:r w:rsidRPr="003421C9">
        <w:rPr>
          <w:lang w:val="tr-TR" w:eastAsia="tr-TR"/>
        </w:rPr>
        <w:t>(3) Yerleştirilen öğrencilerin İngilizce yeterliklerinin belirlenmesi ve TİB Hazırlık Sınıfında öğretim, yürürlükteki “Orta Doğu Teknik Üniversitesi Yabancı Diller Yüksekokulu Temel İngilizce Bölümü Hazırlık Sınıfı Yönetmeliği” hükümlerine göre yapılır.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3421C9">
        <w:rPr>
          <w:rStyle w:val="Gl"/>
          <w:rFonts w:ascii="Calibri" w:hAnsi="Calibri"/>
          <w:sz w:val="22"/>
          <w:szCs w:val="22"/>
        </w:rPr>
        <w:t>Üniversiteye</w:t>
      </w:r>
      <w:proofErr w:type="spellEnd"/>
      <w:r w:rsidRPr="003421C9">
        <w:rPr>
          <w:rStyle w:val="Gl"/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Style w:val="Gl"/>
          <w:rFonts w:ascii="Calibri" w:hAnsi="Calibri"/>
          <w:sz w:val="22"/>
          <w:szCs w:val="22"/>
        </w:rPr>
        <w:t>Kayıt</w:t>
      </w:r>
      <w:proofErr w:type="spellEnd"/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421C9">
        <w:rPr>
          <w:rStyle w:val="Gl"/>
          <w:rFonts w:ascii="Calibri" w:hAnsi="Calibri"/>
          <w:sz w:val="22"/>
          <w:szCs w:val="22"/>
        </w:rPr>
        <w:t>MADDE 7 -</w:t>
      </w:r>
      <w:r w:rsidRPr="003421C9">
        <w:rPr>
          <w:rFonts w:ascii="Calibri" w:hAnsi="Calibri"/>
          <w:sz w:val="22"/>
          <w:szCs w:val="22"/>
        </w:rPr>
        <w:t xml:space="preserve"> (1) DGS </w:t>
      </w:r>
      <w:proofErr w:type="spellStart"/>
      <w:r w:rsidRPr="003421C9">
        <w:rPr>
          <w:rFonts w:ascii="Calibri" w:hAnsi="Calibri"/>
          <w:sz w:val="22"/>
          <w:szCs w:val="22"/>
        </w:rPr>
        <w:t>ile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yerleştirilen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öğrencilerin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Üniversiteye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kayıtları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Yükseköğretim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Kurulu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Başkanlığının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belirlediği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tarihlerde</w:t>
      </w:r>
      <w:proofErr w:type="spellEnd"/>
      <w:r w:rsidRPr="003421C9">
        <w:rPr>
          <w:rFonts w:ascii="Calibri" w:hAnsi="Calibri"/>
          <w:sz w:val="22"/>
          <w:szCs w:val="22"/>
        </w:rPr>
        <w:t xml:space="preserve"> ODTÜ </w:t>
      </w:r>
      <w:proofErr w:type="spellStart"/>
      <w:r w:rsidRPr="003421C9">
        <w:rPr>
          <w:rFonts w:ascii="Calibri" w:hAnsi="Calibri"/>
          <w:sz w:val="22"/>
          <w:szCs w:val="22"/>
        </w:rPr>
        <w:t>Lisans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Eğitim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ve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Öğretim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Yönetmeliği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hükümleri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uyarınca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yapılır</w:t>
      </w:r>
      <w:proofErr w:type="spellEnd"/>
      <w:r w:rsidRPr="003421C9">
        <w:rPr>
          <w:rFonts w:ascii="Calibri" w:hAnsi="Calibri"/>
          <w:sz w:val="22"/>
          <w:szCs w:val="22"/>
        </w:rPr>
        <w:t>.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421C9">
        <w:rPr>
          <w:rFonts w:ascii="Calibri" w:hAnsi="Calibri"/>
          <w:sz w:val="22"/>
          <w:szCs w:val="22"/>
        </w:rPr>
        <w:t> </w:t>
      </w:r>
      <w:r w:rsidRPr="003421C9">
        <w:rPr>
          <w:rStyle w:val="Gl"/>
          <w:rFonts w:ascii="Calibri" w:hAnsi="Calibri"/>
          <w:sz w:val="22"/>
          <w:szCs w:val="22"/>
        </w:rPr>
        <w:t>ÜÇÜNCÜ BÖLÜM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3421C9">
        <w:rPr>
          <w:rStyle w:val="Gl"/>
          <w:rFonts w:ascii="Calibri" w:hAnsi="Calibri"/>
          <w:sz w:val="22"/>
          <w:szCs w:val="22"/>
        </w:rPr>
        <w:t>Eğitim</w:t>
      </w:r>
      <w:proofErr w:type="spellEnd"/>
      <w:r w:rsidRPr="003421C9">
        <w:rPr>
          <w:rStyle w:val="Gl"/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Style w:val="Gl"/>
          <w:rFonts w:ascii="Calibri" w:hAnsi="Calibri"/>
          <w:sz w:val="22"/>
          <w:szCs w:val="22"/>
        </w:rPr>
        <w:t>ve</w:t>
      </w:r>
      <w:proofErr w:type="spellEnd"/>
      <w:r w:rsidRPr="003421C9">
        <w:rPr>
          <w:rStyle w:val="Gl"/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Style w:val="Gl"/>
          <w:rFonts w:ascii="Calibri" w:hAnsi="Calibri"/>
          <w:sz w:val="22"/>
          <w:szCs w:val="22"/>
        </w:rPr>
        <w:t>Öğretime</w:t>
      </w:r>
      <w:proofErr w:type="spellEnd"/>
      <w:r w:rsidRPr="003421C9">
        <w:rPr>
          <w:rStyle w:val="Gl"/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Style w:val="Gl"/>
          <w:rFonts w:ascii="Calibri" w:hAnsi="Calibri"/>
          <w:sz w:val="22"/>
          <w:szCs w:val="22"/>
        </w:rPr>
        <w:t>İlişkin</w:t>
      </w:r>
      <w:proofErr w:type="spellEnd"/>
      <w:r w:rsidRPr="003421C9">
        <w:rPr>
          <w:rStyle w:val="Gl"/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Style w:val="Gl"/>
          <w:rFonts w:ascii="Calibri" w:hAnsi="Calibri"/>
          <w:sz w:val="22"/>
          <w:szCs w:val="22"/>
        </w:rPr>
        <w:t>Esaslar</w:t>
      </w:r>
      <w:proofErr w:type="spellEnd"/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3421C9">
        <w:rPr>
          <w:rStyle w:val="Gl"/>
          <w:rFonts w:ascii="Calibri" w:hAnsi="Calibri"/>
          <w:sz w:val="22"/>
          <w:szCs w:val="22"/>
        </w:rPr>
        <w:t>Lisans</w:t>
      </w:r>
      <w:proofErr w:type="spellEnd"/>
      <w:r w:rsidRPr="003421C9">
        <w:rPr>
          <w:rStyle w:val="Gl"/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Style w:val="Gl"/>
          <w:rFonts w:ascii="Calibri" w:hAnsi="Calibri"/>
          <w:sz w:val="22"/>
          <w:szCs w:val="22"/>
        </w:rPr>
        <w:t>Öğrenimi</w:t>
      </w:r>
      <w:proofErr w:type="spellEnd"/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421C9">
        <w:rPr>
          <w:rStyle w:val="Gl"/>
          <w:rFonts w:ascii="Calibri" w:hAnsi="Calibri"/>
          <w:sz w:val="22"/>
          <w:szCs w:val="22"/>
        </w:rPr>
        <w:t>MADDE 8 -</w:t>
      </w:r>
      <w:r w:rsidRPr="003421C9">
        <w:rPr>
          <w:rFonts w:ascii="Calibri" w:hAnsi="Calibri"/>
          <w:sz w:val="22"/>
          <w:szCs w:val="22"/>
        </w:rPr>
        <w:t xml:space="preserve"> (1) </w:t>
      </w:r>
      <w:proofErr w:type="spellStart"/>
      <w:r w:rsidRPr="003421C9">
        <w:rPr>
          <w:rFonts w:ascii="Calibri" w:hAnsi="Calibri"/>
          <w:sz w:val="22"/>
          <w:szCs w:val="22"/>
        </w:rPr>
        <w:t>İngilizce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dil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yeterliğini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belgeleyerek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lisans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programına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başlamaya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hak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kazanan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öğrencilerin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mezun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oldukları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ön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lisans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programında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aldıkları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derslerden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hangilerinin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geçiş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yaptıkları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programdaki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derslere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karşılık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sayılacağı</w:t>
      </w:r>
      <w:proofErr w:type="spellEnd"/>
      <w:r w:rsidRPr="003421C9">
        <w:rPr>
          <w:rFonts w:ascii="Calibri" w:hAnsi="Calibri"/>
          <w:sz w:val="22"/>
          <w:szCs w:val="22"/>
        </w:rPr>
        <w:t xml:space="preserve">, </w:t>
      </w:r>
      <w:proofErr w:type="spellStart"/>
      <w:r w:rsidRPr="003421C9">
        <w:rPr>
          <w:rFonts w:ascii="Calibri" w:hAnsi="Calibri"/>
          <w:sz w:val="22"/>
          <w:szCs w:val="22"/>
        </w:rPr>
        <w:t>bölümün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önerisi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üzerine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ilgili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yönetim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kurulu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tarafından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karara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bağlanır</w:t>
      </w:r>
      <w:proofErr w:type="spellEnd"/>
      <w:r w:rsidRPr="003421C9">
        <w:rPr>
          <w:rFonts w:ascii="Calibri" w:hAnsi="Calibri"/>
          <w:sz w:val="22"/>
          <w:szCs w:val="22"/>
        </w:rPr>
        <w:t>.</w:t>
      </w:r>
    </w:p>
    <w:p w:rsidR="00877B7B" w:rsidRPr="003421C9" w:rsidRDefault="00877B7B" w:rsidP="003421C9">
      <w:pPr>
        <w:spacing w:before="120" w:after="120" w:line="240" w:lineRule="auto"/>
        <w:jc w:val="both"/>
        <w:rPr>
          <w:lang w:val="tr-TR" w:eastAsia="tr-TR"/>
        </w:rPr>
      </w:pPr>
      <w:r w:rsidRPr="003421C9">
        <w:rPr>
          <w:lang w:val="tr-TR" w:eastAsia="tr-TR"/>
        </w:rPr>
        <w:t>(2) Ders sayımı işlemleri güncel müfredata göre yapılır.</w:t>
      </w:r>
    </w:p>
    <w:p w:rsidR="00877B7B" w:rsidRPr="003421C9" w:rsidRDefault="00877B7B" w:rsidP="003421C9">
      <w:pPr>
        <w:spacing w:before="120" w:after="120" w:line="240" w:lineRule="auto"/>
        <w:jc w:val="both"/>
        <w:rPr>
          <w:lang w:val="tr-TR" w:eastAsia="tr-TR"/>
        </w:rPr>
      </w:pPr>
      <w:r w:rsidRPr="003421C9">
        <w:rPr>
          <w:lang w:val="tr-TR" w:eastAsia="tr-TR"/>
        </w:rPr>
        <w:t>(3) Ders sayımı işlemlerinde CC ve üzeri, S veya bunların eşdeğeri not alınmış derslerden hangilerinin programa sayılacağı belirlenir.</w:t>
      </w:r>
    </w:p>
    <w:p w:rsidR="00877B7B" w:rsidRPr="003421C9" w:rsidRDefault="00877B7B" w:rsidP="003421C9">
      <w:pPr>
        <w:spacing w:before="120" w:after="120" w:line="240" w:lineRule="auto"/>
        <w:jc w:val="both"/>
        <w:rPr>
          <w:lang w:val="tr-TR" w:eastAsia="tr-TR"/>
        </w:rPr>
      </w:pPr>
      <w:r w:rsidRPr="003421C9">
        <w:rPr>
          <w:lang w:val="tr-TR" w:eastAsia="tr-TR"/>
        </w:rPr>
        <w:t>(4) Programa sayılan ders sayısına göre öğrencinin azami süresinden harcadığı kabul edilen yarıyıl(</w:t>
      </w:r>
      <w:proofErr w:type="spellStart"/>
      <w:r w:rsidRPr="003421C9">
        <w:rPr>
          <w:lang w:val="tr-TR" w:eastAsia="tr-TR"/>
        </w:rPr>
        <w:t>lar</w:t>
      </w:r>
      <w:proofErr w:type="spellEnd"/>
      <w:r w:rsidRPr="003421C9">
        <w:rPr>
          <w:lang w:val="tr-TR" w:eastAsia="tr-TR"/>
        </w:rPr>
        <w:t>) hesaplanarak öğrencinin azami süresinden düşülür. Bu işlemde, bir yarıyıla karşılık olarak ilgili programın normal ders yükü kullanılır.</w:t>
      </w:r>
    </w:p>
    <w:p w:rsidR="00877B7B" w:rsidRPr="003421C9" w:rsidRDefault="00877B7B" w:rsidP="003421C9">
      <w:pPr>
        <w:spacing w:before="120" w:after="120" w:line="240" w:lineRule="auto"/>
        <w:jc w:val="both"/>
        <w:rPr>
          <w:lang w:val="tr-TR" w:eastAsia="tr-TR"/>
        </w:rPr>
      </w:pPr>
      <w:r w:rsidRPr="003421C9">
        <w:rPr>
          <w:lang w:val="tr-TR" w:eastAsia="tr-TR"/>
        </w:rPr>
        <w:t>(5) Ders sayımı işlemlerine ilişkin diğer esaslar Senato tarafından belirlenir.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421C9">
        <w:rPr>
          <w:rFonts w:ascii="Calibri" w:hAnsi="Calibri"/>
          <w:sz w:val="22"/>
          <w:szCs w:val="22"/>
        </w:rPr>
        <w:t xml:space="preserve"> (6) DGS </w:t>
      </w:r>
      <w:proofErr w:type="spellStart"/>
      <w:r w:rsidRPr="003421C9">
        <w:rPr>
          <w:rFonts w:ascii="Calibri" w:hAnsi="Calibri"/>
          <w:sz w:val="22"/>
          <w:szCs w:val="22"/>
        </w:rPr>
        <w:t>ile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yerleştirilen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öğrenciler</w:t>
      </w:r>
      <w:proofErr w:type="spellEnd"/>
      <w:r w:rsidRPr="003421C9">
        <w:rPr>
          <w:rFonts w:ascii="Calibri" w:hAnsi="Calibri"/>
          <w:sz w:val="22"/>
          <w:szCs w:val="22"/>
        </w:rPr>
        <w:t xml:space="preserve">, </w:t>
      </w:r>
      <w:proofErr w:type="spellStart"/>
      <w:r w:rsidRPr="003421C9">
        <w:rPr>
          <w:rFonts w:ascii="Calibri" w:hAnsi="Calibri"/>
          <w:sz w:val="22"/>
          <w:szCs w:val="22"/>
        </w:rPr>
        <w:t>lisans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eğitim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ve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öğretimleri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sırasında</w:t>
      </w:r>
      <w:proofErr w:type="spellEnd"/>
      <w:r w:rsidRPr="003421C9">
        <w:rPr>
          <w:rFonts w:ascii="Calibri" w:hAnsi="Calibri"/>
          <w:sz w:val="22"/>
          <w:szCs w:val="22"/>
        </w:rPr>
        <w:t xml:space="preserve"> “ODTÜ </w:t>
      </w:r>
      <w:proofErr w:type="spellStart"/>
      <w:r w:rsidRPr="003421C9">
        <w:rPr>
          <w:rFonts w:ascii="Calibri" w:hAnsi="Calibri"/>
          <w:sz w:val="22"/>
          <w:szCs w:val="22"/>
        </w:rPr>
        <w:t>Lisans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Eğitim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ve</w:t>
      </w:r>
      <w:proofErr w:type="spellEnd"/>
      <w:proofErr w:type="gramStart"/>
      <w:r w:rsidRPr="003421C9">
        <w:rPr>
          <w:rFonts w:ascii="Calibri" w:hAnsi="Calibri"/>
          <w:sz w:val="22"/>
          <w:szCs w:val="22"/>
        </w:rPr>
        <w:t xml:space="preserve">  </w:t>
      </w:r>
      <w:proofErr w:type="spellStart"/>
      <w:r w:rsidRPr="003421C9">
        <w:rPr>
          <w:rFonts w:ascii="Calibri" w:hAnsi="Calibri"/>
          <w:sz w:val="22"/>
          <w:szCs w:val="22"/>
        </w:rPr>
        <w:t>Öğretim</w:t>
      </w:r>
      <w:proofErr w:type="spellEnd"/>
      <w:proofErr w:type="gram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Yönetmeliği"ne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tabi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olurlar</w:t>
      </w:r>
      <w:proofErr w:type="spellEnd"/>
      <w:r w:rsidRPr="003421C9">
        <w:rPr>
          <w:rFonts w:ascii="Calibri" w:hAnsi="Calibri"/>
          <w:sz w:val="22"/>
          <w:szCs w:val="22"/>
        </w:rPr>
        <w:t>.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3421C9">
        <w:rPr>
          <w:rStyle w:val="Gl"/>
          <w:rFonts w:ascii="Calibri" w:hAnsi="Calibri"/>
          <w:sz w:val="22"/>
          <w:szCs w:val="22"/>
        </w:rPr>
        <w:t>Yürürlük</w:t>
      </w:r>
      <w:proofErr w:type="spellEnd"/>
      <w:r w:rsidRPr="003421C9">
        <w:rPr>
          <w:rFonts w:ascii="Calibri" w:hAnsi="Calibri"/>
          <w:b/>
          <w:bCs/>
          <w:sz w:val="22"/>
          <w:szCs w:val="22"/>
        </w:rPr>
        <w:br/>
      </w:r>
      <w:r w:rsidRPr="003421C9">
        <w:rPr>
          <w:rStyle w:val="Gl"/>
          <w:rFonts w:ascii="Calibri" w:hAnsi="Calibri"/>
          <w:sz w:val="22"/>
          <w:szCs w:val="22"/>
        </w:rPr>
        <w:t>MADDE 9 -</w:t>
      </w:r>
      <w:r w:rsidRPr="003421C9">
        <w:rPr>
          <w:rFonts w:ascii="Calibri" w:hAnsi="Calibri"/>
          <w:sz w:val="22"/>
          <w:szCs w:val="22"/>
        </w:rPr>
        <w:t xml:space="preserve"> (1) Bu </w:t>
      </w:r>
      <w:proofErr w:type="spellStart"/>
      <w:r w:rsidRPr="003421C9">
        <w:rPr>
          <w:rFonts w:ascii="Calibri" w:hAnsi="Calibri"/>
          <w:sz w:val="22"/>
          <w:szCs w:val="22"/>
        </w:rPr>
        <w:t>Yönerge</w:t>
      </w:r>
      <w:proofErr w:type="spellEnd"/>
      <w:r w:rsidRPr="003421C9">
        <w:rPr>
          <w:rFonts w:ascii="Calibri" w:hAnsi="Calibri"/>
          <w:sz w:val="22"/>
          <w:szCs w:val="22"/>
        </w:rPr>
        <w:t xml:space="preserve"> 2017-2018 </w:t>
      </w:r>
      <w:proofErr w:type="spellStart"/>
      <w:r w:rsidRPr="003421C9">
        <w:rPr>
          <w:rFonts w:ascii="Calibri" w:hAnsi="Calibri"/>
          <w:sz w:val="22"/>
          <w:szCs w:val="22"/>
        </w:rPr>
        <w:t>Eğitim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Öğretim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Yılı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başında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yürürlüğe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girer</w:t>
      </w:r>
      <w:proofErr w:type="spellEnd"/>
      <w:r w:rsidRPr="003421C9">
        <w:rPr>
          <w:rFonts w:ascii="Calibri" w:hAnsi="Calibri"/>
          <w:sz w:val="22"/>
          <w:szCs w:val="22"/>
        </w:rPr>
        <w:t>.</w:t>
      </w:r>
    </w:p>
    <w:p w:rsidR="00877B7B" w:rsidRPr="003421C9" w:rsidRDefault="00877B7B" w:rsidP="003421C9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3421C9">
        <w:rPr>
          <w:rStyle w:val="Gl"/>
          <w:rFonts w:ascii="Calibri" w:hAnsi="Calibri"/>
          <w:sz w:val="22"/>
          <w:szCs w:val="22"/>
        </w:rPr>
        <w:t>Yürütme</w:t>
      </w:r>
      <w:proofErr w:type="spellEnd"/>
      <w:r w:rsidRPr="003421C9">
        <w:rPr>
          <w:rFonts w:ascii="Calibri" w:hAnsi="Calibri"/>
          <w:b/>
          <w:bCs/>
          <w:sz w:val="22"/>
          <w:szCs w:val="22"/>
        </w:rPr>
        <w:br/>
      </w:r>
      <w:r w:rsidRPr="003421C9">
        <w:rPr>
          <w:rStyle w:val="Gl"/>
          <w:rFonts w:ascii="Calibri" w:hAnsi="Calibri"/>
          <w:sz w:val="22"/>
          <w:szCs w:val="22"/>
        </w:rPr>
        <w:t>MADDE 10 -</w:t>
      </w:r>
      <w:r w:rsidRPr="003421C9">
        <w:rPr>
          <w:rFonts w:ascii="Calibri" w:hAnsi="Calibri"/>
          <w:sz w:val="22"/>
          <w:szCs w:val="22"/>
        </w:rPr>
        <w:t xml:space="preserve"> (1) Bu </w:t>
      </w:r>
      <w:proofErr w:type="spellStart"/>
      <w:r w:rsidRPr="003421C9">
        <w:rPr>
          <w:rFonts w:ascii="Calibri" w:hAnsi="Calibri"/>
          <w:sz w:val="22"/>
          <w:szCs w:val="22"/>
        </w:rPr>
        <w:t>Yönerge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Rektör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tarafından</w:t>
      </w:r>
      <w:proofErr w:type="spellEnd"/>
      <w:r w:rsidRPr="003421C9">
        <w:rPr>
          <w:rFonts w:ascii="Calibri" w:hAnsi="Calibri"/>
          <w:sz w:val="22"/>
          <w:szCs w:val="22"/>
        </w:rPr>
        <w:t xml:space="preserve"> </w:t>
      </w:r>
      <w:proofErr w:type="spellStart"/>
      <w:r w:rsidRPr="003421C9">
        <w:rPr>
          <w:rFonts w:ascii="Calibri" w:hAnsi="Calibri"/>
          <w:sz w:val="22"/>
          <w:szCs w:val="22"/>
        </w:rPr>
        <w:t>yürütülür</w:t>
      </w:r>
      <w:proofErr w:type="spellEnd"/>
      <w:r w:rsidRPr="003421C9">
        <w:rPr>
          <w:rFonts w:ascii="Calibri" w:hAnsi="Calibri"/>
          <w:sz w:val="22"/>
          <w:szCs w:val="22"/>
        </w:rPr>
        <w:t>. </w:t>
      </w:r>
    </w:p>
    <w:p w:rsidR="00877B7B" w:rsidRDefault="00877B7B" w:rsidP="00BC1672">
      <w:pPr>
        <w:pStyle w:val="NormalWeb"/>
      </w:pPr>
    </w:p>
    <w:p w:rsidR="00877B7B" w:rsidRDefault="00877B7B" w:rsidP="00BC1672">
      <w:pPr>
        <w:pStyle w:val="NormalWeb"/>
      </w:pPr>
    </w:p>
    <w:p w:rsidR="00877B7B" w:rsidRDefault="00877B7B" w:rsidP="00BC1672">
      <w:pPr>
        <w:pStyle w:val="NormalWeb"/>
      </w:pPr>
    </w:p>
    <w:p w:rsidR="00877B7B" w:rsidRDefault="00877B7B" w:rsidP="00BC1672">
      <w:pPr>
        <w:pStyle w:val="NormalWeb"/>
      </w:pPr>
    </w:p>
    <w:p w:rsidR="00877B7B" w:rsidRDefault="00877B7B" w:rsidP="00BC1672">
      <w:pPr>
        <w:pStyle w:val="NormalWeb"/>
      </w:pPr>
    </w:p>
    <w:p w:rsidR="00877B7B" w:rsidRPr="0097479B" w:rsidRDefault="00877B7B" w:rsidP="00BC1672">
      <w:pPr>
        <w:pStyle w:val="NormalWeb"/>
      </w:pPr>
    </w:p>
    <w:p w:rsidR="00877B7B" w:rsidRDefault="00877B7B"/>
    <w:sectPr w:rsidR="00877B7B" w:rsidSect="00572F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9A2"/>
    <w:rsid w:val="00031279"/>
    <w:rsid w:val="0005791A"/>
    <w:rsid w:val="00187759"/>
    <w:rsid w:val="00223612"/>
    <w:rsid w:val="002703BA"/>
    <w:rsid w:val="00281BF8"/>
    <w:rsid w:val="002B06E9"/>
    <w:rsid w:val="003025E3"/>
    <w:rsid w:val="00325769"/>
    <w:rsid w:val="003421C9"/>
    <w:rsid w:val="003B5F83"/>
    <w:rsid w:val="003F4FBB"/>
    <w:rsid w:val="00405045"/>
    <w:rsid w:val="00417743"/>
    <w:rsid w:val="004D0974"/>
    <w:rsid w:val="0054172E"/>
    <w:rsid w:val="005609C1"/>
    <w:rsid w:val="00572F9E"/>
    <w:rsid w:val="0058526B"/>
    <w:rsid w:val="005F5BAC"/>
    <w:rsid w:val="006A675F"/>
    <w:rsid w:val="006B41A6"/>
    <w:rsid w:val="00792E64"/>
    <w:rsid w:val="007D3614"/>
    <w:rsid w:val="007F3FE1"/>
    <w:rsid w:val="008237C5"/>
    <w:rsid w:val="008333A9"/>
    <w:rsid w:val="00872CC1"/>
    <w:rsid w:val="00877B7B"/>
    <w:rsid w:val="008A7068"/>
    <w:rsid w:val="0097479B"/>
    <w:rsid w:val="009F189F"/>
    <w:rsid w:val="00A46764"/>
    <w:rsid w:val="00AE016B"/>
    <w:rsid w:val="00B233C0"/>
    <w:rsid w:val="00BC1672"/>
    <w:rsid w:val="00C009E5"/>
    <w:rsid w:val="00C12FA7"/>
    <w:rsid w:val="00C429A2"/>
    <w:rsid w:val="00C76CA2"/>
    <w:rsid w:val="00CB5C51"/>
    <w:rsid w:val="00DC205E"/>
    <w:rsid w:val="00E9246C"/>
    <w:rsid w:val="00F06026"/>
    <w:rsid w:val="00F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5FAC1"/>
  <w15:docId w15:val="{DEC44183-09D2-4D0A-880C-9B3E554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F9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C1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Gl">
    <w:name w:val="Strong"/>
    <w:uiPriority w:val="99"/>
    <w:qFormat/>
    <w:rsid w:val="00BC167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0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Boğaziçi Üniversitesi Dikey Geçiş Yönergesi </vt:lpstr>
    </vt:vector>
  </TitlesOfParts>
  <Company>METU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Boğaziçi Üniversitesi Dikey Geçiş Yönergesi </dc:title>
  <dc:subject/>
  <dc:creator>oidb</dc:creator>
  <cp:keywords/>
  <dc:description/>
  <cp:lastModifiedBy>test</cp:lastModifiedBy>
  <cp:revision>19</cp:revision>
  <dcterms:created xsi:type="dcterms:W3CDTF">2017-02-28T13:36:00Z</dcterms:created>
  <dcterms:modified xsi:type="dcterms:W3CDTF">2017-03-30T10:21:00Z</dcterms:modified>
</cp:coreProperties>
</file>